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00" w:rsidRDefault="00D87300" w:rsidP="00AA2D23">
      <w:pPr>
        <w:rPr>
          <w:b/>
          <w:sz w:val="22"/>
        </w:rPr>
      </w:pPr>
    </w:p>
    <w:p w:rsidR="00725A2C" w:rsidRPr="00AA2D23" w:rsidRDefault="00185494" w:rsidP="00AA2D23">
      <w:pPr>
        <w:rPr>
          <w:b/>
          <w:sz w:val="22"/>
        </w:rPr>
      </w:pPr>
      <w:r w:rsidRPr="00185494">
        <w:rPr>
          <w:b/>
          <w:sz w:val="22"/>
        </w:rPr>
        <w:t>Russia</w:t>
      </w:r>
      <w:r w:rsidR="00725A2C" w:rsidRPr="00185494">
        <w:rPr>
          <w:b/>
          <w:sz w:val="22"/>
        </w:rPr>
        <w:t xml:space="preserve">: </w:t>
      </w:r>
      <w:r w:rsidR="00392029">
        <w:rPr>
          <w:b/>
          <w:sz w:val="22"/>
        </w:rPr>
        <w:t>After 2 years without justice</w:t>
      </w:r>
      <w:r w:rsidR="00725A2C" w:rsidRPr="00185494">
        <w:rPr>
          <w:b/>
          <w:sz w:val="22"/>
        </w:rPr>
        <w:t xml:space="preserve">, </w:t>
      </w:r>
      <w:r w:rsidR="00392029">
        <w:rPr>
          <w:b/>
          <w:sz w:val="22"/>
        </w:rPr>
        <w:t xml:space="preserve">investigation into </w:t>
      </w:r>
      <w:r w:rsidR="00AA2D23" w:rsidRPr="00185494">
        <w:rPr>
          <w:b/>
          <w:sz w:val="22"/>
        </w:rPr>
        <w:t>Akhmednabiyev</w:t>
      </w:r>
      <w:r w:rsidR="00AA2D23">
        <w:rPr>
          <w:b/>
          <w:sz w:val="22"/>
        </w:rPr>
        <w:t xml:space="preserve">’s </w:t>
      </w:r>
      <w:r w:rsidR="00392029">
        <w:rPr>
          <w:b/>
          <w:sz w:val="22"/>
        </w:rPr>
        <w:t>murder</w:t>
      </w:r>
      <w:r w:rsidR="00AA2D23">
        <w:rPr>
          <w:b/>
          <w:sz w:val="22"/>
        </w:rPr>
        <w:t xml:space="preserve"> must be raised to f</w:t>
      </w:r>
      <w:r w:rsidR="00C83459">
        <w:rPr>
          <w:b/>
          <w:sz w:val="22"/>
        </w:rPr>
        <w:t>ederal leve</w:t>
      </w:r>
      <w:r w:rsidR="0020619B">
        <w:rPr>
          <w:b/>
          <w:sz w:val="22"/>
        </w:rPr>
        <w:t>l</w:t>
      </w:r>
    </w:p>
    <w:p w:rsidR="00725A2C" w:rsidRDefault="00725A2C" w:rsidP="00C83459">
      <w:pPr>
        <w:jc w:val="right"/>
        <w:rPr>
          <w:sz w:val="22"/>
        </w:rPr>
      </w:pPr>
    </w:p>
    <w:p w:rsidR="00C83459" w:rsidRDefault="00C83459" w:rsidP="0020619B">
      <w:pPr>
        <w:rPr>
          <w:sz w:val="22"/>
        </w:rPr>
      </w:pPr>
      <w:r>
        <w:rPr>
          <w:sz w:val="22"/>
        </w:rPr>
        <w:t>Thursday 9 July 2015</w:t>
      </w:r>
    </w:p>
    <w:p w:rsidR="00C83459" w:rsidRPr="00185494" w:rsidRDefault="00C83459" w:rsidP="00185494">
      <w:pPr>
        <w:jc w:val="both"/>
        <w:rPr>
          <w:sz w:val="22"/>
        </w:rPr>
      </w:pPr>
    </w:p>
    <w:p w:rsidR="0073419E" w:rsidRPr="00392029" w:rsidRDefault="0073419E" w:rsidP="00AA2D23">
      <w:pPr>
        <w:jc w:val="both"/>
        <w:rPr>
          <w:b/>
          <w:sz w:val="22"/>
        </w:rPr>
      </w:pPr>
      <w:r w:rsidRPr="00392029">
        <w:rPr>
          <w:b/>
          <w:sz w:val="22"/>
        </w:rPr>
        <w:t xml:space="preserve">On the </w:t>
      </w:r>
      <w:r w:rsidR="00C83459" w:rsidRPr="00392029">
        <w:rPr>
          <w:b/>
          <w:sz w:val="22"/>
        </w:rPr>
        <w:t>2</w:t>
      </w:r>
      <w:r w:rsidR="00C83459" w:rsidRPr="00392029">
        <w:rPr>
          <w:b/>
          <w:sz w:val="22"/>
          <w:vertAlign w:val="superscript"/>
        </w:rPr>
        <w:t>nd</w:t>
      </w:r>
      <w:r w:rsidR="00C83459" w:rsidRPr="00392029">
        <w:rPr>
          <w:b/>
          <w:sz w:val="22"/>
        </w:rPr>
        <w:t xml:space="preserve"> anniversary</w:t>
      </w:r>
      <w:r w:rsidRPr="00392029">
        <w:rPr>
          <w:b/>
          <w:sz w:val="22"/>
        </w:rPr>
        <w:t xml:space="preserve"> </w:t>
      </w:r>
      <w:r w:rsidR="00185494" w:rsidRPr="00392029">
        <w:rPr>
          <w:b/>
          <w:sz w:val="22"/>
        </w:rPr>
        <w:t xml:space="preserve">of the murder of </w:t>
      </w:r>
      <w:r w:rsidRPr="00392029">
        <w:rPr>
          <w:b/>
          <w:sz w:val="22"/>
        </w:rPr>
        <w:t xml:space="preserve">independent Russian journalist, </w:t>
      </w:r>
      <w:r w:rsidR="00185494" w:rsidRPr="00392029">
        <w:rPr>
          <w:b/>
          <w:sz w:val="22"/>
        </w:rPr>
        <w:t>Akhmednabi Akhmednabiyev,</w:t>
      </w:r>
      <w:r w:rsidRPr="00392029">
        <w:rPr>
          <w:b/>
          <w:sz w:val="22"/>
        </w:rPr>
        <w:t xml:space="preserve"> we</w:t>
      </w:r>
      <w:r w:rsidR="00AA2D23" w:rsidRPr="00392029">
        <w:rPr>
          <w:b/>
          <w:sz w:val="22"/>
        </w:rPr>
        <w:t>,</w:t>
      </w:r>
      <w:r w:rsidRPr="00392029">
        <w:rPr>
          <w:b/>
          <w:sz w:val="22"/>
        </w:rPr>
        <w:t xml:space="preserve"> the undersigned organisations</w:t>
      </w:r>
      <w:r w:rsidR="00AA2D23" w:rsidRPr="00392029">
        <w:rPr>
          <w:b/>
          <w:sz w:val="22"/>
        </w:rPr>
        <w:t>,</w:t>
      </w:r>
      <w:r w:rsidRPr="00392029">
        <w:rPr>
          <w:b/>
          <w:sz w:val="22"/>
        </w:rPr>
        <w:t xml:space="preserve"> call for the investigation into his case to be </w:t>
      </w:r>
      <w:r w:rsidR="00EB054F" w:rsidRPr="00392029">
        <w:rPr>
          <w:b/>
          <w:sz w:val="22"/>
        </w:rPr>
        <w:t xml:space="preserve">urgently </w:t>
      </w:r>
      <w:r w:rsidRPr="00392029">
        <w:rPr>
          <w:b/>
          <w:sz w:val="22"/>
        </w:rPr>
        <w:t xml:space="preserve">raised to the federal level. </w:t>
      </w:r>
    </w:p>
    <w:p w:rsidR="0073419E" w:rsidRDefault="0073419E" w:rsidP="00AA2D23">
      <w:pPr>
        <w:jc w:val="both"/>
        <w:rPr>
          <w:sz w:val="22"/>
        </w:rPr>
      </w:pPr>
    </w:p>
    <w:p w:rsidR="00AA2D23" w:rsidRDefault="00AA2D23" w:rsidP="00AA2D23">
      <w:pPr>
        <w:jc w:val="both"/>
        <w:rPr>
          <w:sz w:val="22"/>
        </w:rPr>
      </w:pPr>
      <w:r>
        <w:rPr>
          <w:sz w:val="22"/>
        </w:rPr>
        <w:t xml:space="preserve">Akhmednabiyev, </w:t>
      </w:r>
      <w:r w:rsidRPr="00185494">
        <w:rPr>
          <w:sz w:val="22"/>
        </w:rPr>
        <w:t xml:space="preserve">deputy editor of independent newspaper </w:t>
      </w:r>
      <w:r w:rsidRPr="0073419E">
        <w:rPr>
          <w:i/>
          <w:sz w:val="22"/>
        </w:rPr>
        <w:t>Novoye Delo</w:t>
      </w:r>
      <w:r w:rsidRPr="00185494">
        <w:rPr>
          <w:sz w:val="22"/>
        </w:rPr>
        <w:t xml:space="preserve">, and a reporter for online news portal </w:t>
      </w:r>
      <w:r w:rsidRPr="0073419E">
        <w:rPr>
          <w:i/>
          <w:sz w:val="22"/>
        </w:rPr>
        <w:t>Caucasian Knot</w:t>
      </w:r>
      <w:r w:rsidRPr="00185494">
        <w:rPr>
          <w:sz w:val="22"/>
        </w:rPr>
        <w:t>,</w:t>
      </w:r>
      <w:r>
        <w:rPr>
          <w:sz w:val="22"/>
        </w:rPr>
        <w:t xml:space="preserve"> was </w:t>
      </w:r>
      <w:r w:rsidRPr="00185494">
        <w:rPr>
          <w:sz w:val="22"/>
        </w:rPr>
        <w:t xml:space="preserve">shot dead on 9 July 2013 as he left for work in Makhachkala, Dagestan. </w:t>
      </w:r>
      <w:r>
        <w:rPr>
          <w:sz w:val="22"/>
        </w:rPr>
        <w:t>He</w:t>
      </w:r>
      <w:r w:rsidRPr="00185494">
        <w:rPr>
          <w:sz w:val="22"/>
        </w:rPr>
        <w:t xml:space="preserve"> had actively reported on human rights violations against Muslims </w:t>
      </w:r>
      <w:r>
        <w:rPr>
          <w:sz w:val="22"/>
        </w:rPr>
        <w:t xml:space="preserve">by the police and Russian army. </w:t>
      </w:r>
    </w:p>
    <w:p w:rsidR="00AA2D23" w:rsidRDefault="00AA2D23" w:rsidP="0073419E">
      <w:pPr>
        <w:rPr>
          <w:sz w:val="22"/>
        </w:rPr>
      </w:pPr>
    </w:p>
    <w:p w:rsidR="00C83459" w:rsidRPr="00C83459" w:rsidRDefault="0073419E" w:rsidP="0073419E">
      <w:pPr>
        <w:rPr>
          <w:b/>
          <w:sz w:val="22"/>
        </w:rPr>
      </w:pPr>
      <w:r w:rsidRPr="00C83459">
        <w:rPr>
          <w:b/>
          <w:sz w:val="22"/>
        </w:rPr>
        <w:t>Two years after his killing, neither the perpetrators nor instigators have been brought</w:t>
      </w:r>
      <w:r w:rsidR="00AA2D23" w:rsidRPr="00C83459">
        <w:rPr>
          <w:b/>
          <w:sz w:val="22"/>
        </w:rPr>
        <w:t xml:space="preserve"> to justice. </w:t>
      </w:r>
    </w:p>
    <w:p w:rsidR="00C83459" w:rsidRDefault="00C83459" w:rsidP="0073419E">
      <w:pPr>
        <w:rPr>
          <w:sz w:val="22"/>
        </w:rPr>
      </w:pPr>
    </w:p>
    <w:p w:rsidR="00B07D87" w:rsidRDefault="00AA2D23" w:rsidP="00C83459">
      <w:pPr>
        <w:jc w:val="both"/>
        <w:rPr>
          <w:sz w:val="22"/>
        </w:rPr>
      </w:pPr>
      <w:r>
        <w:rPr>
          <w:sz w:val="22"/>
        </w:rPr>
        <w:t xml:space="preserve">The </w:t>
      </w:r>
      <w:r w:rsidR="00C83459">
        <w:rPr>
          <w:sz w:val="22"/>
        </w:rPr>
        <w:t xml:space="preserve">investigation, </w:t>
      </w:r>
      <w:r w:rsidR="00652B55">
        <w:rPr>
          <w:sz w:val="22"/>
        </w:rPr>
        <w:t>led by the</w:t>
      </w:r>
      <w:r w:rsidR="00C83459">
        <w:rPr>
          <w:sz w:val="22"/>
        </w:rPr>
        <w:t xml:space="preserve"> local Dagestani Investigative Committee, </w:t>
      </w:r>
      <w:r>
        <w:rPr>
          <w:sz w:val="22"/>
        </w:rPr>
        <w:t xml:space="preserve">has been </w:t>
      </w:r>
      <w:r w:rsidR="0073419E" w:rsidRPr="00185494">
        <w:rPr>
          <w:sz w:val="22"/>
        </w:rPr>
        <w:t xml:space="preserve">repeatedly </w:t>
      </w:r>
      <w:r w:rsidR="00C83459">
        <w:rPr>
          <w:sz w:val="22"/>
        </w:rPr>
        <w:t xml:space="preserve">suspended for long periods over the last year and </w:t>
      </w:r>
      <w:r w:rsidR="00C83459" w:rsidRPr="008845C6">
        <w:rPr>
          <w:sz w:val="22"/>
        </w:rPr>
        <w:t>half</w:t>
      </w:r>
      <w:r w:rsidR="008845C6">
        <w:rPr>
          <w:sz w:val="22"/>
        </w:rPr>
        <w:t>,</w:t>
      </w:r>
      <w:r w:rsidR="00B07D87" w:rsidRPr="008845C6">
        <w:rPr>
          <w:sz w:val="22"/>
        </w:rPr>
        <w:t xml:space="preserve"> with little apparent progress being made.</w:t>
      </w:r>
    </w:p>
    <w:p w:rsidR="00B07D87" w:rsidRDefault="00B07D87" w:rsidP="00C83459">
      <w:pPr>
        <w:jc w:val="both"/>
        <w:rPr>
          <w:sz w:val="22"/>
        </w:rPr>
      </w:pPr>
    </w:p>
    <w:p w:rsidR="0020619B" w:rsidRDefault="00652B55" w:rsidP="00C83459">
      <w:pPr>
        <w:jc w:val="both"/>
        <w:rPr>
          <w:sz w:val="22"/>
        </w:rPr>
      </w:pPr>
      <w:r>
        <w:rPr>
          <w:sz w:val="22"/>
        </w:rPr>
        <w:t xml:space="preserve">Prior to his murder, </w:t>
      </w:r>
      <w:r w:rsidR="0020619B">
        <w:rPr>
          <w:sz w:val="22"/>
        </w:rPr>
        <w:t xml:space="preserve">Akhmednabiyev was subject to </w:t>
      </w:r>
      <w:r>
        <w:rPr>
          <w:sz w:val="22"/>
        </w:rPr>
        <w:t xml:space="preserve">numerous </w:t>
      </w:r>
      <w:r w:rsidR="0020619B">
        <w:rPr>
          <w:sz w:val="22"/>
        </w:rPr>
        <w:t xml:space="preserve">death threats </w:t>
      </w:r>
      <w:r>
        <w:rPr>
          <w:sz w:val="22"/>
        </w:rPr>
        <w:t xml:space="preserve">including an </w:t>
      </w:r>
      <w:r w:rsidR="0020619B" w:rsidRPr="0073419E">
        <w:rPr>
          <w:sz w:val="22"/>
        </w:rPr>
        <w:t>assassination attempt in January 2013</w:t>
      </w:r>
      <w:r>
        <w:rPr>
          <w:sz w:val="22"/>
        </w:rPr>
        <w:t>, the circumstances of which mirrored his eventual murder.</w:t>
      </w:r>
      <w:r w:rsidR="0020619B" w:rsidRPr="0073419E">
        <w:rPr>
          <w:sz w:val="22"/>
        </w:rPr>
        <w:t xml:space="preserve"> </w:t>
      </w:r>
      <w:r w:rsidR="0020619B">
        <w:rPr>
          <w:sz w:val="22"/>
        </w:rPr>
        <w:t xml:space="preserve">Dagestani </w:t>
      </w:r>
      <w:r w:rsidR="0020619B" w:rsidRPr="0073419E">
        <w:rPr>
          <w:sz w:val="22"/>
        </w:rPr>
        <w:t>police</w:t>
      </w:r>
      <w:r>
        <w:rPr>
          <w:sz w:val="22"/>
        </w:rPr>
        <w:t xml:space="preserve"> wrongly logged the assassination attempt</w:t>
      </w:r>
      <w:r w:rsidR="0020619B" w:rsidRPr="0073419E">
        <w:rPr>
          <w:sz w:val="22"/>
        </w:rPr>
        <w:t xml:space="preserve"> as property damage, and only reclassifie</w:t>
      </w:r>
      <w:r w:rsidR="0020619B">
        <w:rPr>
          <w:sz w:val="22"/>
        </w:rPr>
        <w:t>d</w:t>
      </w:r>
      <w:r>
        <w:rPr>
          <w:sz w:val="22"/>
        </w:rPr>
        <w:t xml:space="preserve"> it</w:t>
      </w:r>
      <w:r w:rsidR="0020619B">
        <w:rPr>
          <w:sz w:val="22"/>
        </w:rPr>
        <w:t xml:space="preserve"> after the journalist’s death</w:t>
      </w:r>
      <w:r>
        <w:rPr>
          <w:sz w:val="22"/>
        </w:rPr>
        <w:t xml:space="preserve">, demonstrating a </w:t>
      </w:r>
      <w:r w:rsidR="0020619B" w:rsidRPr="0073419E">
        <w:rPr>
          <w:sz w:val="22"/>
        </w:rPr>
        <w:t>shameful failure to investigate the motive behind the attack and prevent further attacks, despite a request from Akhmednabiyev for protection.</w:t>
      </w:r>
    </w:p>
    <w:p w:rsidR="0020619B" w:rsidRDefault="0020619B" w:rsidP="00C83459">
      <w:pPr>
        <w:jc w:val="both"/>
        <w:rPr>
          <w:sz w:val="22"/>
        </w:rPr>
      </w:pPr>
    </w:p>
    <w:p w:rsidR="00745FC9" w:rsidRPr="00185494" w:rsidRDefault="0020619B" w:rsidP="00745FC9">
      <w:pPr>
        <w:jc w:val="both"/>
        <w:rPr>
          <w:sz w:val="22"/>
        </w:rPr>
      </w:pPr>
      <w:r>
        <w:rPr>
          <w:sz w:val="22"/>
        </w:rPr>
        <w:t>Russia’s</w:t>
      </w:r>
      <w:r w:rsidRPr="0073419E">
        <w:rPr>
          <w:sz w:val="22"/>
        </w:rPr>
        <w:t xml:space="preserve"> failure to address t</w:t>
      </w:r>
      <w:r w:rsidR="00392029">
        <w:rPr>
          <w:sz w:val="22"/>
        </w:rPr>
        <w:t>hese t</w:t>
      </w:r>
      <w:r w:rsidRPr="0073419E">
        <w:rPr>
          <w:sz w:val="22"/>
        </w:rPr>
        <w:t>hreats is a breach of the State's “positive obligation” to protect an individual's freedom of expression against attacks, as defined by European Court of Human Rights case law (Dink v. Turkey).</w:t>
      </w:r>
      <w:r>
        <w:rPr>
          <w:sz w:val="22"/>
        </w:rPr>
        <w:t xml:space="preserve"> </w:t>
      </w:r>
      <w:r w:rsidR="00745FC9" w:rsidRPr="00745FC9">
        <w:rPr>
          <w:sz w:val="22"/>
        </w:rPr>
        <w:t xml:space="preserve"> </w:t>
      </w:r>
      <w:r w:rsidR="00745FC9">
        <w:rPr>
          <w:sz w:val="22"/>
        </w:rPr>
        <w:t xml:space="preserve">Furthermore, at </w:t>
      </w:r>
      <w:r w:rsidR="00BA7F08">
        <w:rPr>
          <w:sz w:val="22"/>
        </w:rPr>
        <w:t xml:space="preserve">a </w:t>
      </w:r>
      <w:r w:rsidR="00745FC9" w:rsidRPr="00185494">
        <w:rPr>
          <w:sz w:val="22"/>
        </w:rPr>
        <w:t>United Nations Human Rights Council (</w:t>
      </w:r>
      <w:r w:rsidR="00745FC9">
        <w:rPr>
          <w:sz w:val="22"/>
        </w:rPr>
        <w:t>HRC) session in September 2014, member States</w:t>
      </w:r>
      <w:r w:rsidR="00745FC9" w:rsidRPr="00185494">
        <w:rPr>
          <w:sz w:val="22"/>
        </w:rPr>
        <w:t xml:space="preserve">, including Russia, </w:t>
      </w:r>
      <w:hyperlink r:id="rId7" w:history="1">
        <w:r w:rsidR="00745FC9" w:rsidRPr="00215080">
          <w:rPr>
            <w:rStyle w:val="Hyperkobling"/>
            <w:sz w:val="22"/>
          </w:rPr>
          <w:t>adopted</w:t>
        </w:r>
      </w:hyperlink>
      <w:r w:rsidR="00745FC9" w:rsidRPr="00185494">
        <w:rPr>
          <w:sz w:val="22"/>
        </w:rPr>
        <w:t xml:space="preserve"> a </w:t>
      </w:r>
      <w:r w:rsidR="00CA5372">
        <w:rPr>
          <w:rFonts w:eastAsia="Times New Roman" w:cs="Times New Roman"/>
        </w:rPr>
        <w:t>resolution (</w:t>
      </w:r>
      <w:hyperlink r:id="rId8" w:history="1">
        <w:r w:rsidR="00215080" w:rsidRPr="00CA5372">
          <w:rPr>
            <w:rStyle w:val="Hyperkobling"/>
            <w:rFonts w:eastAsia="Times New Roman" w:cs="Times New Roman"/>
            <w:i/>
          </w:rPr>
          <w:t>A/HRC/27/L.7</w:t>
        </w:r>
      </w:hyperlink>
      <w:r w:rsidR="00215080">
        <w:rPr>
          <w:rFonts w:eastAsia="Times New Roman" w:cs="Times New Roman"/>
        </w:rPr>
        <w:t xml:space="preserve">) </w:t>
      </w:r>
      <w:r w:rsidR="00745FC9" w:rsidRPr="00185494">
        <w:rPr>
          <w:sz w:val="22"/>
        </w:rPr>
        <w:t>on safety of journalists and ending impunity. States are now required to take a number of measures aimed at ending impunity for violence against journalists, including “ensuring impartial, speedy, thorough, independent and effective investigations, which seek to bring to justice the masterminds behind attacks”.</w:t>
      </w:r>
    </w:p>
    <w:p w:rsidR="00745FC9" w:rsidRDefault="00745FC9" w:rsidP="00C83459">
      <w:pPr>
        <w:jc w:val="both"/>
        <w:rPr>
          <w:sz w:val="22"/>
        </w:rPr>
      </w:pPr>
    </w:p>
    <w:p w:rsidR="0020619B" w:rsidRDefault="00BA7F08" w:rsidP="00C83459">
      <w:pPr>
        <w:jc w:val="both"/>
        <w:rPr>
          <w:sz w:val="22"/>
        </w:rPr>
      </w:pPr>
      <w:r>
        <w:rPr>
          <w:sz w:val="22"/>
        </w:rPr>
        <w:t>Russia must act on its human rights commitments and address the</w:t>
      </w:r>
      <w:r w:rsidR="00084841">
        <w:rPr>
          <w:sz w:val="22"/>
        </w:rPr>
        <w:t xml:space="preserve"> lack of progress</w:t>
      </w:r>
      <w:r>
        <w:rPr>
          <w:sz w:val="22"/>
        </w:rPr>
        <w:t xml:space="preserve"> in Akhmednabiyev</w:t>
      </w:r>
      <w:r w:rsidR="00215080">
        <w:rPr>
          <w:sz w:val="22"/>
        </w:rPr>
        <w:t>’</w:t>
      </w:r>
      <w:r>
        <w:rPr>
          <w:sz w:val="22"/>
        </w:rPr>
        <w:t>s case by removing it from</w:t>
      </w:r>
      <w:r w:rsidR="0020619B">
        <w:rPr>
          <w:sz w:val="22"/>
        </w:rPr>
        <w:t xml:space="preserve"> the hands of local investigators, and </w:t>
      </w:r>
      <w:r>
        <w:rPr>
          <w:sz w:val="22"/>
        </w:rPr>
        <w:t xml:space="preserve">prioritising it </w:t>
      </w:r>
      <w:r w:rsidR="0020619B">
        <w:rPr>
          <w:sz w:val="22"/>
        </w:rPr>
        <w:t>at a federal level.</w:t>
      </w:r>
    </w:p>
    <w:p w:rsidR="00AA2D23" w:rsidRDefault="00AA2D23" w:rsidP="0073419E">
      <w:pPr>
        <w:rPr>
          <w:sz w:val="22"/>
        </w:rPr>
      </w:pPr>
    </w:p>
    <w:p w:rsidR="00AA2D23" w:rsidRPr="00C83459" w:rsidRDefault="00AA2D23" w:rsidP="00C83459">
      <w:pPr>
        <w:rPr>
          <w:b/>
          <w:sz w:val="22"/>
        </w:rPr>
      </w:pPr>
      <w:r w:rsidRPr="00C83459">
        <w:rPr>
          <w:b/>
          <w:sz w:val="22"/>
        </w:rPr>
        <w:t xml:space="preserve">More needs to be done in order to ensure impartial, independent and effective investigation. </w:t>
      </w:r>
    </w:p>
    <w:p w:rsidR="00C83459" w:rsidRDefault="00C83459" w:rsidP="00C83459">
      <w:pPr>
        <w:rPr>
          <w:sz w:val="22"/>
        </w:rPr>
      </w:pPr>
    </w:p>
    <w:p w:rsidR="00AA2D23" w:rsidRDefault="00AA2D23" w:rsidP="00084841">
      <w:pPr>
        <w:widowControl w:val="0"/>
        <w:autoSpaceDE w:val="0"/>
        <w:autoSpaceDN w:val="0"/>
        <w:adjustRightInd w:val="0"/>
        <w:spacing w:after="240"/>
        <w:jc w:val="both"/>
        <w:rPr>
          <w:sz w:val="22"/>
        </w:rPr>
      </w:pPr>
      <w:r w:rsidRPr="00185494">
        <w:rPr>
          <w:sz w:val="22"/>
        </w:rPr>
        <w:t xml:space="preserve">On </w:t>
      </w:r>
      <w:r>
        <w:rPr>
          <w:sz w:val="22"/>
        </w:rPr>
        <w:t xml:space="preserve">2 November 2014, </w:t>
      </w:r>
      <w:r w:rsidRPr="00185494">
        <w:rPr>
          <w:sz w:val="22"/>
        </w:rPr>
        <w:t>31</w:t>
      </w:r>
      <w:r>
        <w:rPr>
          <w:sz w:val="22"/>
        </w:rPr>
        <w:t xml:space="preserve"> </w:t>
      </w:r>
      <w:r w:rsidR="00FE5041">
        <w:rPr>
          <w:sz w:val="22"/>
        </w:rPr>
        <w:t xml:space="preserve">non-governmental </w:t>
      </w:r>
      <w:r>
        <w:rPr>
          <w:sz w:val="22"/>
        </w:rPr>
        <w:t>organisations</w:t>
      </w:r>
      <w:r w:rsidR="00B07D87">
        <w:rPr>
          <w:sz w:val="22"/>
        </w:rPr>
        <w:t xml:space="preserve"> from Russia, across Europe as well as international,</w:t>
      </w:r>
      <w:r w:rsidR="00BA7F08">
        <w:rPr>
          <w:sz w:val="22"/>
        </w:rPr>
        <w:t xml:space="preserve"> </w:t>
      </w:r>
      <w:hyperlink r:id="rId9" w:history="1">
        <w:r w:rsidRPr="00392029">
          <w:rPr>
            <w:rStyle w:val="Hyperkobling"/>
            <w:sz w:val="22"/>
          </w:rPr>
          <w:t>wrote</w:t>
        </w:r>
      </w:hyperlink>
      <w:r w:rsidRPr="00185494">
        <w:rPr>
          <w:sz w:val="22"/>
        </w:rPr>
        <w:t xml:space="preserve"> to Aleksandr Bastrykin calling upon him as the Head of the Investigative Committee of the Russian Federation, to raise Akhmednabiyev’s case </w:t>
      </w:r>
      <w:r w:rsidR="00FE5041">
        <w:rPr>
          <w:sz w:val="22"/>
        </w:rPr>
        <w:t xml:space="preserve">from the regional level </w:t>
      </w:r>
      <w:r w:rsidRPr="00185494">
        <w:rPr>
          <w:sz w:val="22"/>
        </w:rPr>
        <w:t>to the</w:t>
      </w:r>
      <w:r w:rsidR="00BD4EA4">
        <w:rPr>
          <w:sz w:val="22"/>
        </w:rPr>
        <w:t xml:space="preserve"> federal level, in order to ensure an impartial, independent and effective investigation. Specifically, the letter requested that he appoint</w:t>
      </w:r>
      <w:r w:rsidR="00FE5041">
        <w:rPr>
          <w:sz w:val="22"/>
        </w:rPr>
        <w:t xml:space="preserve"> the </w:t>
      </w:r>
      <w:r w:rsidRPr="00185494">
        <w:rPr>
          <w:sz w:val="22"/>
        </w:rPr>
        <w:t>Office for the investigation of particularly important cases involving crimes against persons and public safety, under the Central Investigative Department of the Russian Federation’s Investigative Committee</w:t>
      </w:r>
      <w:r w:rsidR="00FE5041">
        <w:rPr>
          <w:sz w:val="22"/>
        </w:rPr>
        <w:t xml:space="preserve"> to continue the investigation.</w:t>
      </w:r>
    </w:p>
    <w:p w:rsidR="0073419E" w:rsidRDefault="0020619B" w:rsidP="00084841">
      <w:pPr>
        <w:jc w:val="both"/>
        <w:rPr>
          <w:sz w:val="22"/>
        </w:rPr>
      </w:pPr>
      <w:r>
        <w:rPr>
          <w:sz w:val="22"/>
        </w:rPr>
        <w:t>To date, there has been no official response to this appeal. The Federal Investigative Committee</w:t>
      </w:r>
      <w:r w:rsidR="00FE5041">
        <w:rPr>
          <w:sz w:val="22"/>
        </w:rPr>
        <w:t>’s public inactivity on this case</w:t>
      </w:r>
      <w:r>
        <w:rPr>
          <w:sz w:val="22"/>
        </w:rPr>
        <w:t xml:space="preserve"> contradicts </w:t>
      </w:r>
      <w:r w:rsidR="00084841">
        <w:rPr>
          <w:sz w:val="22"/>
        </w:rPr>
        <w:t xml:space="preserve">a </w:t>
      </w:r>
      <w:hyperlink r:id="rId10" w:history="1">
        <w:r w:rsidR="00084841" w:rsidRPr="00084841">
          <w:rPr>
            <w:rStyle w:val="Hyperkobling"/>
            <w:sz w:val="22"/>
          </w:rPr>
          <w:t>promise</w:t>
        </w:r>
      </w:hyperlink>
      <w:r w:rsidR="00084841">
        <w:rPr>
          <w:sz w:val="22"/>
        </w:rPr>
        <w:t xml:space="preserve"> made by President Putin in October 2014, to draw </w:t>
      </w:r>
      <w:r w:rsidR="00FE5041">
        <w:rPr>
          <w:sz w:val="22"/>
        </w:rPr>
        <w:t xml:space="preserve">investigators’ </w:t>
      </w:r>
      <w:r w:rsidR="00084841">
        <w:rPr>
          <w:sz w:val="22"/>
        </w:rPr>
        <w:t>attention to the cases of murdered journalists in Dagestan.</w:t>
      </w:r>
    </w:p>
    <w:p w:rsidR="0020619B" w:rsidRDefault="0020619B" w:rsidP="00084841">
      <w:pPr>
        <w:jc w:val="both"/>
        <w:rPr>
          <w:sz w:val="22"/>
        </w:rPr>
      </w:pPr>
    </w:p>
    <w:p w:rsidR="0020619B" w:rsidRDefault="0020619B" w:rsidP="00084841">
      <w:pPr>
        <w:widowControl w:val="0"/>
        <w:autoSpaceDE w:val="0"/>
        <w:autoSpaceDN w:val="0"/>
        <w:adjustRightInd w:val="0"/>
        <w:spacing w:after="240"/>
        <w:jc w:val="both"/>
        <w:rPr>
          <w:sz w:val="22"/>
        </w:rPr>
      </w:pPr>
      <w:r w:rsidRPr="00185494">
        <w:rPr>
          <w:sz w:val="22"/>
        </w:rPr>
        <w:t xml:space="preserve">As well as ensuring impunity for his murder, such </w:t>
      </w:r>
      <w:r>
        <w:rPr>
          <w:sz w:val="22"/>
        </w:rPr>
        <w:t>in</w:t>
      </w:r>
      <w:r w:rsidRPr="00185494">
        <w:rPr>
          <w:sz w:val="22"/>
        </w:rPr>
        <w:t>action sets a terrible precedent for future investigations into attacks on journalists in Russia</w:t>
      </w:r>
      <w:r w:rsidRPr="0020619B">
        <w:rPr>
          <w:sz w:val="22"/>
        </w:rPr>
        <w:t xml:space="preserve">, and poses a serious threat to freedom of expression. </w:t>
      </w:r>
    </w:p>
    <w:p w:rsidR="00215080" w:rsidRPr="00D87300" w:rsidRDefault="00392029" w:rsidP="00D87300">
      <w:pPr>
        <w:widowControl w:val="0"/>
        <w:autoSpaceDE w:val="0"/>
        <w:autoSpaceDN w:val="0"/>
        <w:adjustRightInd w:val="0"/>
        <w:spacing w:after="240"/>
        <w:jc w:val="both"/>
        <w:rPr>
          <w:sz w:val="22"/>
        </w:rPr>
      </w:pPr>
      <w:r>
        <w:rPr>
          <w:sz w:val="22"/>
        </w:rPr>
        <w:t xml:space="preserve">We urge the Federal Investigation Committee </w:t>
      </w:r>
      <w:r w:rsidR="00A06EE2">
        <w:rPr>
          <w:sz w:val="22"/>
        </w:rPr>
        <w:t xml:space="preserve">to </w:t>
      </w:r>
      <w:r>
        <w:rPr>
          <w:sz w:val="22"/>
        </w:rPr>
        <w:t>remedy this situation by expediting Akhmedna</w:t>
      </w:r>
      <w:r w:rsidR="00084841">
        <w:rPr>
          <w:sz w:val="22"/>
        </w:rPr>
        <w:t xml:space="preserve">biyev’s case to the Federal level as a matter of urgency. This would </w:t>
      </w:r>
      <w:r>
        <w:rPr>
          <w:sz w:val="22"/>
        </w:rPr>
        <w:t>demonstrat</w:t>
      </w:r>
      <w:r w:rsidR="00084841">
        <w:rPr>
          <w:sz w:val="22"/>
        </w:rPr>
        <w:t>e</w:t>
      </w:r>
      <w:r w:rsidRPr="00392029">
        <w:rPr>
          <w:sz w:val="22"/>
        </w:rPr>
        <w:t xml:space="preserve"> a clear willingness, by the Russian authorities, to investigate this crime in a thorough, impartial and effective manner.</w:t>
      </w:r>
    </w:p>
    <w:p w:rsidR="00D84F7A" w:rsidRDefault="00D84F7A" w:rsidP="00392029">
      <w:pPr>
        <w:widowControl w:val="0"/>
        <w:autoSpaceDE w:val="0"/>
        <w:autoSpaceDN w:val="0"/>
        <w:adjustRightInd w:val="0"/>
        <w:spacing w:after="240"/>
        <w:rPr>
          <w:sz w:val="22"/>
          <w:u w:val="single"/>
        </w:rPr>
      </w:pPr>
    </w:p>
    <w:p w:rsidR="00392029" w:rsidRPr="00392029" w:rsidRDefault="005430BA" w:rsidP="00392029">
      <w:pPr>
        <w:widowControl w:val="0"/>
        <w:autoSpaceDE w:val="0"/>
        <w:autoSpaceDN w:val="0"/>
        <w:adjustRightInd w:val="0"/>
        <w:spacing w:after="240"/>
        <w:rPr>
          <w:sz w:val="22"/>
          <w:u w:val="single"/>
        </w:rPr>
      </w:pPr>
      <w:bookmarkStart w:id="0" w:name="_GoBack"/>
      <w:bookmarkEnd w:id="0"/>
      <w:r>
        <w:rPr>
          <w:sz w:val="22"/>
          <w:u w:val="single"/>
        </w:rPr>
        <w:t>Supported</w:t>
      </w:r>
      <w:r w:rsidR="00392029" w:rsidRPr="00392029">
        <w:rPr>
          <w:sz w:val="22"/>
          <w:u w:val="single"/>
        </w:rPr>
        <w:t xml:space="preserve"> by</w:t>
      </w:r>
    </w:p>
    <w:p w:rsidR="00D87300" w:rsidRPr="00A810EB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</w:pPr>
      <w:r w:rsidRPr="00A810EB">
        <w:t xml:space="preserve">ARTICLE 19 </w:t>
      </w:r>
      <w:r w:rsidRPr="00A810EB">
        <w:tab/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Arial"/>
        </w:rPr>
      </w:pPr>
      <w:r w:rsidRPr="00D87300">
        <w:rPr>
          <w:rFonts w:eastAsia="Times New Roman" w:cs="Arial"/>
        </w:rPr>
        <w:t>Albanian Media Institute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Arial"/>
        </w:rPr>
      </w:pPr>
      <w:r w:rsidRPr="00D87300">
        <w:rPr>
          <w:rFonts w:eastAsia="Times New Roman" w:cs="Arial"/>
        </w:rPr>
        <w:t>Analytical Center for Interethnic Cooperation and Consultations (Georgia)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Arial"/>
        </w:rPr>
      </w:pPr>
      <w:r w:rsidRPr="00D87300">
        <w:rPr>
          <w:rFonts w:eastAsia="Times New Roman" w:cs="Arial"/>
        </w:rPr>
        <w:t>Association of Independent Electronic Media (Serbia)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Arial"/>
        </w:rPr>
      </w:pPr>
      <w:r w:rsidRPr="00D87300">
        <w:rPr>
          <w:rFonts w:eastAsia="Times New Roman" w:cs="Times New Roman"/>
        </w:rPr>
        <w:t>The Barys Zvozskau Belarusian Human Rights House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Arial"/>
        </w:rPr>
      </w:pPr>
      <w:r w:rsidRPr="00D87300">
        <w:rPr>
          <w:rFonts w:eastAsia="Times New Roman" w:cs="Arial"/>
        </w:rPr>
        <w:t>Belorussian Helsinki Committee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Arial"/>
        </w:rPr>
      </w:pPr>
      <w:r w:rsidRPr="00D87300">
        <w:rPr>
          <w:rFonts w:eastAsia="Times New Roman" w:cs="Times New Roman"/>
        </w:rPr>
        <w:t>Center for Civil Liberties (Ukraine)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Arial"/>
        </w:rPr>
      </w:pPr>
      <w:r w:rsidRPr="00D87300">
        <w:rPr>
          <w:rFonts w:eastAsia="Times New Roman" w:cs="Times New Roman"/>
        </w:rPr>
        <w:t>Civil Society and Freedom of Speech Initiative Center for the Caucasus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Times New Roman"/>
        </w:rPr>
      </w:pPr>
      <w:r w:rsidRPr="00D87300">
        <w:rPr>
          <w:rFonts w:eastAsia="Times New Roman" w:cs="Times New Roman"/>
        </w:rPr>
        <w:t>Crude Accountability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Times New Roman"/>
        </w:rPr>
      </w:pPr>
      <w:r w:rsidRPr="00D87300">
        <w:rPr>
          <w:rFonts w:eastAsia="Times New Roman" w:cs="Times New Roman"/>
        </w:rPr>
        <w:t>Helsinki Citizens' Assembly – Vanadzor (Armenia)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Times New Roman"/>
        </w:rPr>
      </w:pPr>
      <w:r w:rsidRPr="00D87300">
        <w:rPr>
          <w:rFonts w:eastAsia="Times New Roman" w:cs="Times New Roman"/>
        </w:rPr>
        <w:t>Helsinki Committee of Armenia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Times New Roman"/>
        </w:rPr>
      </w:pPr>
      <w:r w:rsidRPr="00D87300">
        <w:rPr>
          <w:rFonts w:eastAsia="Times New Roman" w:cs="Times New Roman"/>
        </w:rPr>
        <w:t>Helsinki Committee for Human Rights in Serbia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Times New Roman"/>
        </w:rPr>
      </w:pPr>
      <w:r w:rsidRPr="00D87300">
        <w:rPr>
          <w:rFonts w:eastAsia="Times New Roman" w:cs="Times New Roman"/>
        </w:rPr>
        <w:t>Helsinki Foundation for Human Rights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Times New Roman"/>
        </w:rPr>
      </w:pPr>
      <w:r w:rsidRPr="00D87300">
        <w:rPr>
          <w:rFonts w:eastAsia="Times New Roman" w:cs="Times New Roman"/>
        </w:rPr>
        <w:t>The Human Rights Center of Azerbaijan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Times New Roman"/>
        </w:rPr>
      </w:pPr>
      <w:r w:rsidRPr="00D87300">
        <w:rPr>
          <w:rFonts w:eastAsia="Times New Roman" w:cs="Times New Roman"/>
        </w:rPr>
        <w:t>Human Rights House Foundation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Times New Roman"/>
        </w:rPr>
      </w:pPr>
      <w:r w:rsidRPr="00D87300">
        <w:rPr>
          <w:rFonts w:eastAsia="Times New Roman" w:cs="Times New Roman"/>
          <w:color w:val="222222"/>
          <w:shd w:val="clear" w:color="auto" w:fill="FFFFFF"/>
        </w:rPr>
        <w:t>Human Rights Monitoring Institute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Times New Roman"/>
        </w:rPr>
      </w:pPr>
      <w:r w:rsidRPr="00D87300">
        <w:rPr>
          <w:rFonts w:eastAsia="Times New Roman" w:cs="Times New Roman"/>
        </w:rPr>
        <w:t>Human Rights Movement "Bir Duino-Kyrgyzstan"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  <w:rPr>
          <w:rFonts w:eastAsia="Times New Roman" w:cs="Times New Roman"/>
        </w:rPr>
      </w:pPr>
      <w:r w:rsidRPr="00D87300">
        <w:rPr>
          <w:rFonts w:eastAsia="Times New Roman" w:cs="Times New Roman"/>
        </w:rPr>
        <w:t>Index on Censorship</w:t>
      </w:r>
    </w:p>
    <w:p w:rsidR="00D87300" w:rsidRPr="00A810EB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</w:pPr>
      <w:r w:rsidRPr="00D87300">
        <w:rPr>
          <w:rFonts w:eastAsia="Times New Roman" w:cs="Times New Roman"/>
        </w:rPr>
        <w:t>International Partnership for Human Rights</w:t>
      </w:r>
    </w:p>
    <w:p w:rsidR="00D87300" w:rsidRPr="00A810EB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</w:pPr>
      <w:r w:rsidRPr="00D87300">
        <w:rPr>
          <w:rFonts w:eastAsia="Times New Roman" w:cs="Times New Roman"/>
        </w:rPr>
        <w:t>International Press Institute</w:t>
      </w:r>
    </w:p>
    <w:p w:rsidR="00D87300" w:rsidRPr="00A810EB" w:rsidRDefault="00D87300" w:rsidP="00D87300">
      <w:pPr>
        <w:pStyle w:val="Listeavsnitt"/>
        <w:numPr>
          <w:ilvl w:val="0"/>
          <w:numId w:val="4"/>
        </w:numPr>
        <w:tabs>
          <w:tab w:val="left" w:pos="1828"/>
        </w:tabs>
      </w:pPr>
      <w:r w:rsidRPr="00A810EB">
        <w:t>Kharkiv Regional Foundation -Public Alternative (Ukraine)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rPr>
          <w:rFonts w:eastAsia="Times New Roman" w:cs="Times New Roman"/>
        </w:rPr>
      </w:pPr>
      <w:r w:rsidRPr="00D87300">
        <w:rPr>
          <w:rFonts w:eastAsia="Times New Roman" w:cs="Times New Roman"/>
        </w:rPr>
        <w:t>Kazakhstan International Bureau for Human Rights and Rule of Law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rPr>
          <w:rFonts w:eastAsia="Times New Roman" w:cs="Times New Roman"/>
        </w:rPr>
      </w:pPr>
      <w:r w:rsidRPr="00D87300">
        <w:rPr>
          <w:rFonts w:eastAsia="Times New Roman" w:cs="Times New Roman"/>
        </w:rPr>
        <w:t>Moscow Helsinki Group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rPr>
          <w:rFonts w:eastAsia="Times New Roman" w:cs="Times New Roman"/>
        </w:rPr>
      </w:pPr>
      <w:r w:rsidRPr="00D87300">
        <w:rPr>
          <w:rFonts w:eastAsia="Times New Roman" w:cs="Times New Roman"/>
        </w:rPr>
        <w:t>Norwegian Helsinki Committee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rPr>
          <w:rFonts w:eastAsia="Times New Roman" w:cs="Times New Roman"/>
        </w:rPr>
      </w:pPr>
      <w:r w:rsidRPr="00D87300">
        <w:rPr>
          <w:rFonts w:eastAsia="Times New Roman" w:cs="Times New Roman"/>
        </w:rPr>
        <w:t>PEN International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rPr>
          <w:rFonts w:eastAsia="Times New Roman" w:cs="Times New Roman"/>
        </w:rPr>
      </w:pPr>
      <w:r w:rsidRPr="00D87300">
        <w:rPr>
          <w:rFonts w:eastAsia="Times New Roman" w:cs="Times New Roman"/>
        </w:rPr>
        <w:t>Promo LEX Moldova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rPr>
          <w:rFonts w:eastAsia="Times New Roman" w:cs="Times New Roman"/>
        </w:rPr>
      </w:pPr>
      <w:r w:rsidRPr="00D87300">
        <w:rPr>
          <w:rFonts w:eastAsia="Times New Roman" w:cs="Times New Roman"/>
        </w:rPr>
        <w:t>Public Verdict (Russia)</w:t>
      </w:r>
    </w:p>
    <w:p w:rsidR="00D87300" w:rsidRPr="00D87300" w:rsidRDefault="00D87300" w:rsidP="00D87300">
      <w:pPr>
        <w:pStyle w:val="Listeavsnitt"/>
        <w:numPr>
          <w:ilvl w:val="0"/>
          <w:numId w:val="4"/>
        </w:numPr>
        <w:rPr>
          <w:rFonts w:eastAsia="Times New Roman" w:cs="Times New Roman"/>
        </w:rPr>
      </w:pPr>
      <w:r w:rsidRPr="00D87300">
        <w:rPr>
          <w:rFonts w:eastAsia="Times New Roman" w:cs="Times New Roman"/>
        </w:rPr>
        <w:t>Reporters without Borders</w:t>
      </w:r>
    </w:p>
    <w:p w:rsidR="0020619B" w:rsidRDefault="0020619B" w:rsidP="00185494">
      <w:pPr>
        <w:jc w:val="both"/>
        <w:rPr>
          <w:sz w:val="22"/>
        </w:rPr>
      </w:pPr>
    </w:p>
    <w:p w:rsidR="0020619B" w:rsidRDefault="0020619B" w:rsidP="00185494">
      <w:pPr>
        <w:jc w:val="both"/>
        <w:rPr>
          <w:sz w:val="22"/>
        </w:rPr>
      </w:pPr>
    </w:p>
    <w:p w:rsidR="00994814" w:rsidRPr="00185494" w:rsidRDefault="00994814" w:rsidP="00185494">
      <w:pPr>
        <w:widowControl w:val="0"/>
        <w:autoSpaceDE w:val="0"/>
        <w:autoSpaceDN w:val="0"/>
        <w:adjustRightInd w:val="0"/>
        <w:spacing w:after="240"/>
        <w:rPr>
          <w:sz w:val="22"/>
        </w:rPr>
      </w:pPr>
    </w:p>
    <w:sectPr w:rsidR="00994814" w:rsidRPr="00185494" w:rsidSect="0020619B">
      <w:pgSz w:w="11900" w:h="16840"/>
      <w:pgMar w:top="851" w:right="851" w:bottom="851" w:left="851" w:gutter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08391D" w15:done="0"/>
  <w15:commentEx w15:paraId="24750B2E" w15:done="0"/>
  <w15:commentEx w15:paraId="645125E7" w15:done="0"/>
  <w15:commentEx w15:paraId="5835C33B" w15:done="0"/>
  <w15:commentEx w15:paraId="2656D14C" w15:done="0"/>
  <w15:commentEx w15:paraId="4E41E3C7" w15:done="0"/>
</w15:commentsEx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80" w:rsidRDefault="00215080" w:rsidP="00215080">
      <w:r>
        <w:separator/>
      </w:r>
    </w:p>
  </w:endnote>
  <w:endnote w:type="continuationSeparator" w:id="0">
    <w:p w:rsidR="00215080" w:rsidRDefault="00215080" w:rsidP="0021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80" w:rsidRDefault="00215080" w:rsidP="00215080">
      <w:r>
        <w:separator/>
      </w:r>
    </w:p>
  </w:footnote>
  <w:footnote w:type="continuationSeparator" w:id="0">
    <w:p w:rsidR="00215080" w:rsidRDefault="00215080" w:rsidP="00215080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F9F"/>
    <w:multiLevelType w:val="hybridMultilevel"/>
    <w:tmpl w:val="E2AC6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6173A"/>
    <w:multiLevelType w:val="hybridMultilevel"/>
    <w:tmpl w:val="9E20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F559A"/>
    <w:multiLevelType w:val="multilevel"/>
    <w:tmpl w:val="99AE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C6898"/>
    <w:multiLevelType w:val="hybridMultilevel"/>
    <w:tmpl w:val="A318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ie Morris">
    <w15:presenceInfo w15:providerId="AD" w15:userId="S-1-5-21-1229272821-1844823847-682003330-23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5A2C"/>
    <w:rsid w:val="00084841"/>
    <w:rsid w:val="00185494"/>
    <w:rsid w:val="0020619B"/>
    <w:rsid w:val="00215080"/>
    <w:rsid w:val="002A6DAD"/>
    <w:rsid w:val="00362F18"/>
    <w:rsid w:val="00392029"/>
    <w:rsid w:val="004A546E"/>
    <w:rsid w:val="005430BA"/>
    <w:rsid w:val="00652B55"/>
    <w:rsid w:val="00673044"/>
    <w:rsid w:val="006E18B4"/>
    <w:rsid w:val="006F468A"/>
    <w:rsid w:val="00725A2C"/>
    <w:rsid w:val="0073419E"/>
    <w:rsid w:val="00745FC9"/>
    <w:rsid w:val="008845C6"/>
    <w:rsid w:val="00994814"/>
    <w:rsid w:val="00A06EE2"/>
    <w:rsid w:val="00AA2D23"/>
    <w:rsid w:val="00B07D87"/>
    <w:rsid w:val="00BA7F08"/>
    <w:rsid w:val="00BD4EA4"/>
    <w:rsid w:val="00C57050"/>
    <w:rsid w:val="00C83459"/>
    <w:rsid w:val="00CA5372"/>
    <w:rsid w:val="00CF6E2E"/>
    <w:rsid w:val="00D84F7A"/>
    <w:rsid w:val="00D87300"/>
    <w:rsid w:val="00EB054F"/>
    <w:rsid w:val="00FE5041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6E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styleId="Hyperkobling">
    <w:name w:val="Hyperlink"/>
    <w:basedOn w:val="Standardskriftforavsnitt"/>
    <w:uiPriority w:val="99"/>
    <w:unhideWhenUsed/>
    <w:rsid w:val="003920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20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eavsnitt">
    <w:name w:val="List Paragraph"/>
    <w:basedOn w:val="Normal"/>
    <w:uiPriority w:val="34"/>
    <w:qFormat/>
    <w:rsid w:val="00392029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52B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2B5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2B5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2B5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2B5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2B5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B55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FE5041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15080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15080"/>
  </w:style>
  <w:style w:type="paragraph" w:styleId="Bunntekst">
    <w:name w:val="footer"/>
    <w:basedOn w:val="Normal"/>
    <w:link w:val="BunntekstTegn"/>
    <w:uiPriority w:val="99"/>
    <w:unhideWhenUsed/>
    <w:rsid w:val="00215080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150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0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20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920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2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B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B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5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504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50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080"/>
  </w:style>
  <w:style w:type="paragraph" w:styleId="Footer">
    <w:name w:val="footer"/>
    <w:basedOn w:val="Normal"/>
    <w:link w:val="FooterChar"/>
    <w:uiPriority w:val="99"/>
    <w:unhideWhenUsed/>
    <w:rsid w:val="002150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5" Type="http://schemas.microsoft.com/office/2011/relationships/commentsExtended" Target="commentsExtended.xml"/><Relationship Id="rId16" Type="http://schemas.microsoft.com/office/2011/relationships/people" Target="people.xml"/><Relationship Id="rId1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article19.org/resources.php/resource/37704/en/un-hrc:-resolution-on-safety-of-journalists-adopted-by-consensus" TargetMode="External"/><Relationship Id="rId8" Type="http://schemas.openxmlformats.org/officeDocument/2006/relationships/hyperlink" Target="https://www.article19.org/data/files/medialibrary/37704/Journalists-Resolution-Draft-.pdf" TargetMode="External"/><Relationship Id="rId9" Type="http://schemas.openxmlformats.org/officeDocument/2006/relationships/hyperlink" Target="https://www.article19.org/resources.php/resource/37752/en/russia:-over-30-organisations-call-for-progress-in-investigation-into-akhmednabi-akhmednabiyev%27s-murder" TargetMode="External"/><Relationship Id="rId10" Type="http://schemas.openxmlformats.org/officeDocument/2006/relationships/hyperlink" Target="https://eng.kavkaz-uzel.ru/articles/2963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4442</Characters>
  <Application>Microsoft Macintosh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Suzikerr</dc:creator>
  <cp:keywords/>
  <dc:description/>
  <cp:lastModifiedBy>Anders Nielsen</cp:lastModifiedBy>
  <cp:revision>2</cp:revision>
  <dcterms:created xsi:type="dcterms:W3CDTF">2015-09-03T09:50:00Z</dcterms:created>
  <dcterms:modified xsi:type="dcterms:W3CDTF">2015-09-03T09:50:00Z</dcterms:modified>
</cp:coreProperties>
</file>